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FA33" w14:textId="77777777" w:rsidR="007F13AE" w:rsidRPr="00866AF8" w:rsidRDefault="007F13AE" w:rsidP="007F13AE">
      <w:pPr>
        <w:jc w:val="center"/>
        <w:rPr>
          <w:rFonts w:ascii="Tahoma" w:hAnsi="Tahoma" w:cs="Tahoma"/>
          <w:b/>
          <w:smallCaps/>
          <w:sz w:val="28"/>
          <w:szCs w:val="28"/>
        </w:rPr>
      </w:pPr>
      <w:r w:rsidRPr="00866AF8">
        <w:rPr>
          <w:rFonts w:ascii="Tahoma" w:hAnsi="Tahoma" w:cs="Tahoma"/>
          <w:b/>
          <w:smallCaps/>
          <w:sz w:val="28"/>
          <w:szCs w:val="28"/>
        </w:rPr>
        <w:t>Allgemeine Geschäftsbedingungen (AGB)</w:t>
      </w:r>
    </w:p>
    <w:p w14:paraId="4ADF5B31" w14:textId="77777777" w:rsidR="007F13AE" w:rsidRDefault="007F13AE" w:rsidP="007F13AE">
      <w:pPr>
        <w:jc w:val="center"/>
        <w:rPr>
          <w:rFonts w:ascii="Arial" w:hAnsi="Arial" w:cs="Arial"/>
          <w:b/>
          <w:caps/>
          <w:sz w:val="24"/>
          <w:szCs w:val="24"/>
        </w:rPr>
      </w:pPr>
    </w:p>
    <w:p w14:paraId="085F61F3" w14:textId="77777777" w:rsidR="007F13AE" w:rsidRPr="00866AF8" w:rsidRDefault="007F13AE" w:rsidP="007F13AE">
      <w:pPr>
        <w:pStyle w:val="Listenabsatz"/>
        <w:numPr>
          <w:ilvl w:val="0"/>
          <w:numId w:val="1"/>
        </w:numPr>
        <w:ind w:left="357" w:hanging="357"/>
        <w:jc w:val="both"/>
        <w:rPr>
          <w:rFonts w:ascii="Tahoma" w:hAnsi="Tahoma" w:cs="Tahoma"/>
          <w:b/>
          <w:caps/>
          <w:smallCaps/>
        </w:rPr>
      </w:pPr>
      <w:r w:rsidRPr="00866AF8">
        <w:rPr>
          <w:rFonts w:ascii="Tahoma" w:hAnsi="Tahoma" w:cs="Tahoma"/>
          <w:b/>
          <w:smallCaps/>
        </w:rPr>
        <w:t>Allgemeines/Geltungsbereich</w:t>
      </w:r>
    </w:p>
    <w:p w14:paraId="73B12636" w14:textId="77777777" w:rsidR="007F13AE" w:rsidRPr="00866AF8" w:rsidRDefault="007F13AE" w:rsidP="007F13AE">
      <w:pPr>
        <w:ind w:left="720" w:hanging="720"/>
        <w:jc w:val="both"/>
        <w:rPr>
          <w:rFonts w:ascii="Tahoma" w:hAnsi="Tahoma" w:cs="Tahoma"/>
        </w:rPr>
      </w:pPr>
      <w:r w:rsidRPr="00866AF8">
        <w:rPr>
          <w:rFonts w:ascii="Tahoma" w:hAnsi="Tahoma" w:cs="Tahoma"/>
          <w:b/>
          <w:caps/>
        </w:rPr>
        <w:t>1.1</w:t>
      </w:r>
      <w:r w:rsidRPr="00866AF8">
        <w:rPr>
          <w:rFonts w:ascii="Tahoma" w:hAnsi="Tahoma" w:cs="Tahoma"/>
          <w:caps/>
        </w:rPr>
        <w:t xml:space="preserve"> </w:t>
      </w:r>
      <w:r>
        <w:rPr>
          <w:rFonts w:ascii="Tahoma" w:hAnsi="Tahoma" w:cs="Tahoma"/>
          <w:caps/>
        </w:rPr>
        <w:tab/>
      </w:r>
      <w:r w:rsidRPr="00866AF8">
        <w:rPr>
          <w:rFonts w:ascii="Tahoma" w:hAnsi="Tahoma" w:cs="Tahoma"/>
        </w:rPr>
        <w:t xml:space="preserve">Die nachfolgenden Geschäftsbedingungen gelten für die Geschäftsbeziehungen der Firma </w:t>
      </w:r>
      <w:r>
        <w:rPr>
          <w:rFonts w:ascii="Tahoma" w:hAnsi="Tahoma" w:cs="Tahoma"/>
        </w:rPr>
        <w:t xml:space="preserve">Junker Fliesen &amp; </w:t>
      </w:r>
      <w:proofErr w:type="gramStart"/>
      <w:r>
        <w:rPr>
          <w:rFonts w:ascii="Tahoma" w:hAnsi="Tahoma" w:cs="Tahoma"/>
        </w:rPr>
        <w:t xml:space="preserve">Sanierungen </w:t>
      </w:r>
      <w:r w:rsidRPr="00866AF8">
        <w:rPr>
          <w:rFonts w:ascii="Tahoma" w:hAnsi="Tahoma" w:cs="Tahoma"/>
        </w:rPr>
        <w:t>,</w:t>
      </w:r>
      <w:proofErr w:type="gramEnd"/>
      <w:r w:rsidRPr="00866AF8">
        <w:rPr>
          <w:rFonts w:ascii="Tahoma" w:hAnsi="Tahoma" w:cs="Tahoma"/>
        </w:rPr>
        <w:t xml:space="preserve"> gesetzlich vertreten durch den Geschäftsführer Dietmar Junker, nachfolgenden nur Junker Fliesendesign genannt. Soweit keine gesonderte</w:t>
      </w:r>
      <w:r>
        <w:rPr>
          <w:rFonts w:ascii="Tahoma" w:hAnsi="Tahoma" w:cs="Tahoma"/>
        </w:rPr>
        <w:t>n</w:t>
      </w:r>
      <w:r w:rsidRPr="00866AF8">
        <w:rPr>
          <w:rFonts w:ascii="Tahoma" w:hAnsi="Tahoma" w:cs="Tahoma"/>
        </w:rPr>
        <w:t xml:space="preserve"> Vereinbarung</w:t>
      </w:r>
      <w:r>
        <w:rPr>
          <w:rFonts w:ascii="Tahoma" w:hAnsi="Tahoma" w:cs="Tahoma"/>
        </w:rPr>
        <w:t>en</w:t>
      </w:r>
      <w:r w:rsidRPr="00866AF8">
        <w:rPr>
          <w:rFonts w:ascii="Tahoma" w:hAnsi="Tahoma" w:cs="Tahoma"/>
        </w:rPr>
        <w:t xml:space="preserve"> ge</w:t>
      </w:r>
      <w:r>
        <w:rPr>
          <w:rFonts w:ascii="Tahoma" w:hAnsi="Tahoma" w:cs="Tahoma"/>
        </w:rPr>
        <w:t>schlossen we</w:t>
      </w:r>
      <w:r w:rsidRPr="00866AF8">
        <w:rPr>
          <w:rFonts w:ascii="Tahoma" w:hAnsi="Tahoma" w:cs="Tahoma"/>
        </w:rPr>
        <w:t>rd</w:t>
      </w:r>
      <w:r>
        <w:rPr>
          <w:rFonts w:ascii="Tahoma" w:hAnsi="Tahoma" w:cs="Tahoma"/>
        </w:rPr>
        <w:t>en</w:t>
      </w:r>
      <w:r w:rsidRPr="00866AF8">
        <w:rPr>
          <w:rFonts w:ascii="Tahoma" w:hAnsi="Tahoma" w:cs="Tahoma"/>
        </w:rPr>
        <w:t xml:space="preserve">, gelten die nachstehenden allgemeinen Geschäftsbedingungen für alle Vertragsschlüsse, sowie vertragliche Vereinbarungen und Angebote. Wenn und </w:t>
      </w:r>
      <w:proofErr w:type="gramStart"/>
      <w:r w:rsidRPr="00866AF8">
        <w:rPr>
          <w:rFonts w:ascii="Tahoma" w:hAnsi="Tahoma" w:cs="Tahoma"/>
        </w:rPr>
        <w:t>soweit</w:t>
      </w:r>
      <w:proofErr w:type="gramEnd"/>
      <w:r w:rsidRPr="00866AF8">
        <w:rPr>
          <w:rFonts w:ascii="Tahoma" w:hAnsi="Tahoma" w:cs="Tahoma"/>
        </w:rPr>
        <w:t xml:space="preserve"> im Zusammenhang mit Lieferung von Waren auch Verlegungsarbeiten oder sonstige Bauleistungen erbracht werden, gilt zusätzlich die VOB. </w:t>
      </w:r>
    </w:p>
    <w:p w14:paraId="6E13E67E" w14:textId="77777777" w:rsidR="007F13AE" w:rsidRPr="00866AF8" w:rsidRDefault="007F13AE" w:rsidP="007F13AE">
      <w:pPr>
        <w:jc w:val="both"/>
        <w:rPr>
          <w:rFonts w:ascii="Tahoma" w:hAnsi="Tahoma" w:cs="Tahoma"/>
        </w:rPr>
      </w:pPr>
    </w:p>
    <w:p w14:paraId="0C7E59CD" w14:textId="77777777" w:rsidR="007F13AE" w:rsidRPr="00866AF8" w:rsidRDefault="007F13AE" w:rsidP="007F13AE">
      <w:pPr>
        <w:ind w:left="720" w:hanging="720"/>
        <w:jc w:val="both"/>
        <w:rPr>
          <w:rFonts w:ascii="Tahoma" w:hAnsi="Tahoma" w:cs="Tahoma"/>
        </w:rPr>
      </w:pPr>
      <w:r w:rsidRPr="00866AF8">
        <w:rPr>
          <w:rFonts w:ascii="Tahoma" w:hAnsi="Tahoma" w:cs="Tahoma"/>
          <w:b/>
        </w:rPr>
        <w:t>1.2</w:t>
      </w:r>
      <w:r>
        <w:rPr>
          <w:rFonts w:ascii="Tahoma" w:hAnsi="Tahoma" w:cs="Tahoma"/>
        </w:rPr>
        <w:tab/>
      </w:r>
      <w:r w:rsidRPr="00866AF8">
        <w:rPr>
          <w:rFonts w:ascii="Tahoma" w:hAnsi="Tahoma" w:cs="Tahoma"/>
        </w:rPr>
        <w:t>Verbraucher im Sinne diese Geschäftsbedingungen sind natürliche Personen, mit denen in Geschäftsbeziehung getreten wird, ohne dass diesen eine gewerbliche oder selbstständige berufliche Tätigkeit zugerechnet werden kann. Unternehmer im Sinne dieser Geschäftsbedingungen sind natürliche oder juristische Personen oder rechtsfähige Personengesellschaften, mit denen in Geschäftsbeziehung getreten wird, die in Ausübung einer gewerblichen oder selbstständigen beruflichen Tätigkeit handeln. Kunde</w:t>
      </w:r>
      <w:r>
        <w:rPr>
          <w:rFonts w:ascii="Tahoma" w:hAnsi="Tahoma" w:cs="Tahoma"/>
        </w:rPr>
        <w:t>n</w:t>
      </w:r>
      <w:r w:rsidRPr="00866AF8">
        <w:rPr>
          <w:rFonts w:ascii="Tahoma" w:hAnsi="Tahoma" w:cs="Tahoma"/>
        </w:rPr>
        <w:t xml:space="preserve"> im Sinne dieser Geschäftsbedingungen sind sowohl Verbraucher als auch Unternehmer. </w:t>
      </w:r>
    </w:p>
    <w:p w14:paraId="69E47A65" w14:textId="77777777" w:rsidR="007F13AE" w:rsidRPr="00866AF8" w:rsidRDefault="007F13AE" w:rsidP="007F13AE">
      <w:pPr>
        <w:jc w:val="both"/>
        <w:rPr>
          <w:rFonts w:ascii="Tahoma" w:hAnsi="Tahoma" w:cs="Tahoma"/>
          <w:b/>
          <w:smallCaps/>
        </w:rPr>
      </w:pPr>
    </w:p>
    <w:p w14:paraId="7D38695A" w14:textId="77777777" w:rsidR="007F13AE" w:rsidRPr="00866AF8" w:rsidRDefault="007F13AE" w:rsidP="007F13AE">
      <w:pPr>
        <w:pStyle w:val="Listenabsatz"/>
        <w:numPr>
          <w:ilvl w:val="0"/>
          <w:numId w:val="1"/>
        </w:numPr>
        <w:ind w:left="357" w:hanging="357"/>
        <w:jc w:val="both"/>
        <w:rPr>
          <w:rFonts w:ascii="Tahoma" w:hAnsi="Tahoma" w:cs="Tahoma"/>
          <w:b/>
          <w:smallCaps/>
        </w:rPr>
      </w:pPr>
      <w:r w:rsidRPr="00866AF8">
        <w:rPr>
          <w:rFonts w:ascii="Tahoma" w:hAnsi="Tahoma" w:cs="Tahoma"/>
          <w:b/>
          <w:smallCaps/>
        </w:rPr>
        <w:t>Angebot und Vertragsschluss</w:t>
      </w:r>
    </w:p>
    <w:p w14:paraId="7C712CEB" w14:textId="77777777" w:rsidR="007F13AE" w:rsidRDefault="007F13AE" w:rsidP="007F13AE">
      <w:pPr>
        <w:jc w:val="both"/>
        <w:rPr>
          <w:rFonts w:ascii="Tahoma" w:hAnsi="Tahoma" w:cs="Tahoma"/>
        </w:rPr>
      </w:pPr>
      <w:r>
        <w:rPr>
          <w:rFonts w:ascii="Tahoma" w:hAnsi="Tahoma" w:cs="Tahoma"/>
        </w:rPr>
        <w:tab/>
      </w:r>
      <w:r w:rsidRPr="00866AF8">
        <w:rPr>
          <w:rFonts w:ascii="Tahoma" w:hAnsi="Tahoma" w:cs="Tahoma"/>
        </w:rPr>
        <w:t xml:space="preserve">Die Angebote </w:t>
      </w:r>
      <w:r>
        <w:rPr>
          <w:rFonts w:ascii="Tahoma" w:hAnsi="Tahoma" w:cs="Tahoma"/>
        </w:rPr>
        <w:t xml:space="preserve">von </w:t>
      </w:r>
      <w:r w:rsidRPr="00866AF8">
        <w:rPr>
          <w:rFonts w:ascii="Tahoma" w:hAnsi="Tahoma" w:cs="Tahoma"/>
        </w:rPr>
        <w:t xml:space="preserve">Junker Fliesendesign sind freibleibend und unverbindlich, es sei denn, dass </w:t>
      </w:r>
    </w:p>
    <w:p w14:paraId="1CD531B4" w14:textId="77777777" w:rsidR="007F13AE" w:rsidRPr="00866AF8" w:rsidRDefault="007F13AE" w:rsidP="007F13AE">
      <w:pPr>
        <w:ind w:firstLine="720"/>
        <w:jc w:val="both"/>
        <w:rPr>
          <w:rFonts w:ascii="Tahoma" w:hAnsi="Tahoma" w:cs="Tahoma"/>
        </w:rPr>
      </w:pPr>
      <w:r w:rsidRPr="00866AF8">
        <w:rPr>
          <w:rFonts w:ascii="Tahoma" w:hAnsi="Tahoma" w:cs="Tahoma"/>
        </w:rPr>
        <w:t xml:space="preserve">diese ausdrücklich in schriftlicher Form als verbindlich bezeichnet werden. </w:t>
      </w:r>
    </w:p>
    <w:p w14:paraId="56E726F7" w14:textId="77777777" w:rsidR="007F13AE" w:rsidRPr="00866AF8" w:rsidRDefault="007F13AE" w:rsidP="007F13AE">
      <w:pPr>
        <w:jc w:val="both"/>
        <w:rPr>
          <w:rFonts w:ascii="Tahoma" w:hAnsi="Tahoma" w:cs="Tahoma"/>
        </w:rPr>
      </w:pPr>
    </w:p>
    <w:p w14:paraId="7CCEAE0A" w14:textId="77777777" w:rsidR="007F13AE" w:rsidRPr="00866AF8" w:rsidRDefault="007F13AE" w:rsidP="007F13AE">
      <w:pPr>
        <w:pStyle w:val="Listenabsatz"/>
        <w:numPr>
          <w:ilvl w:val="0"/>
          <w:numId w:val="1"/>
        </w:numPr>
        <w:ind w:left="357" w:hanging="357"/>
        <w:jc w:val="both"/>
        <w:rPr>
          <w:rFonts w:ascii="Tahoma" w:hAnsi="Tahoma" w:cs="Tahoma"/>
          <w:b/>
          <w:smallCaps/>
        </w:rPr>
      </w:pPr>
      <w:r w:rsidRPr="00866AF8">
        <w:rPr>
          <w:rFonts w:ascii="Tahoma" w:hAnsi="Tahoma" w:cs="Tahoma"/>
          <w:b/>
          <w:smallCaps/>
        </w:rPr>
        <w:t xml:space="preserve">Zahlungen </w:t>
      </w:r>
    </w:p>
    <w:p w14:paraId="7BC5B2F8" w14:textId="77777777" w:rsidR="007F13AE" w:rsidRPr="006033CC" w:rsidRDefault="007F13AE" w:rsidP="007F13AE">
      <w:pPr>
        <w:pStyle w:val="Listenabsatz"/>
        <w:numPr>
          <w:ilvl w:val="1"/>
          <w:numId w:val="2"/>
        </w:numPr>
        <w:jc w:val="both"/>
        <w:rPr>
          <w:rFonts w:ascii="Tahoma" w:hAnsi="Tahoma" w:cs="Tahoma"/>
        </w:rPr>
      </w:pPr>
      <w:r w:rsidRPr="006033CC">
        <w:rPr>
          <w:rFonts w:ascii="Tahoma" w:hAnsi="Tahoma" w:cs="Tahoma"/>
        </w:rPr>
        <w:t xml:space="preserve">Die Preise sind freibleibend. Die Preise verstehen sich, sofern nichts anderes vereinbart ist, </w:t>
      </w:r>
    </w:p>
    <w:p w14:paraId="6A6FDC03" w14:textId="77777777" w:rsidR="007F13AE" w:rsidRPr="00866AF8" w:rsidRDefault="007F13AE" w:rsidP="007F13AE">
      <w:pPr>
        <w:ind w:left="862"/>
        <w:jc w:val="both"/>
        <w:rPr>
          <w:rFonts w:ascii="Tahoma" w:hAnsi="Tahoma" w:cs="Tahoma"/>
        </w:rPr>
      </w:pPr>
      <w:r w:rsidRPr="00866AF8">
        <w:rPr>
          <w:rFonts w:ascii="Tahoma" w:hAnsi="Tahoma" w:cs="Tahoma"/>
        </w:rPr>
        <w:t xml:space="preserve">zzgl. gesetzlicher Mehrwertsteuer ab Lager in Untermeitingen. Im Falle einer Anlieferung steht es Junker Fliesendesign frei einen Transportanteil in Rechnung zu stellen. Die in Quadratmetern angegebenen Preise verstehen sich einschließlich der Fuge, wobei sich Fliesendesign Junker an die von der Industrie vorgegebenen Werte hält. </w:t>
      </w:r>
    </w:p>
    <w:p w14:paraId="60584C1C" w14:textId="77777777" w:rsidR="007F13AE" w:rsidRPr="00866AF8" w:rsidRDefault="007F13AE" w:rsidP="007F13AE">
      <w:pPr>
        <w:jc w:val="both"/>
        <w:rPr>
          <w:rFonts w:ascii="Tahoma" w:hAnsi="Tahoma" w:cs="Tahoma"/>
        </w:rPr>
      </w:pPr>
    </w:p>
    <w:p w14:paraId="366CB307" w14:textId="77777777" w:rsidR="007F13AE" w:rsidRDefault="007F13AE" w:rsidP="007F13AE">
      <w:pPr>
        <w:pStyle w:val="Listenabsatz"/>
        <w:numPr>
          <w:ilvl w:val="1"/>
          <w:numId w:val="2"/>
        </w:numPr>
        <w:jc w:val="both"/>
        <w:rPr>
          <w:rFonts w:ascii="Tahoma" w:hAnsi="Tahoma" w:cs="Tahoma"/>
        </w:rPr>
      </w:pPr>
      <w:r>
        <w:rPr>
          <w:rFonts w:ascii="Tahoma" w:hAnsi="Tahoma" w:cs="Tahoma"/>
        </w:rPr>
        <w:t>Der Rechnungsbetrag ist innerhalb von 14 Tagen ab Rechnungsstellung fällig</w:t>
      </w:r>
      <w:r w:rsidRPr="006033CC">
        <w:rPr>
          <w:rFonts w:ascii="Tahoma" w:hAnsi="Tahoma" w:cs="Tahoma"/>
        </w:rPr>
        <w:t>. Die Zahlung hat, sofern nichts anderes vereinbart, spätestens</w:t>
      </w:r>
      <w:r>
        <w:rPr>
          <w:rFonts w:ascii="Tahoma" w:hAnsi="Tahoma" w:cs="Tahoma"/>
        </w:rPr>
        <w:t xml:space="preserve"> bis zum dreißigsten Tag zu erfolgen</w:t>
      </w:r>
      <w:r w:rsidRPr="006033CC">
        <w:rPr>
          <w:rFonts w:ascii="Tahoma" w:hAnsi="Tahoma" w:cs="Tahoma"/>
        </w:rPr>
        <w:t xml:space="preserve">. </w:t>
      </w:r>
    </w:p>
    <w:p w14:paraId="031CD9C1" w14:textId="77777777" w:rsidR="007F13AE" w:rsidRPr="0085563E" w:rsidRDefault="007F13AE" w:rsidP="007F13AE">
      <w:pPr>
        <w:ind w:left="142"/>
        <w:jc w:val="both"/>
        <w:rPr>
          <w:rFonts w:ascii="Tahoma" w:hAnsi="Tahoma" w:cs="Tahoma"/>
        </w:rPr>
      </w:pPr>
    </w:p>
    <w:p w14:paraId="04DA7C29" w14:textId="77777777" w:rsidR="007F13AE" w:rsidRPr="006033CC" w:rsidRDefault="007F13AE" w:rsidP="007F13AE">
      <w:pPr>
        <w:pStyle w:val="Listenabsatz"/>
        <w:numPr>
          <w:ilvl w:val="1"/>
          <w:numId w:val="2"/>
        </w:numPr>
        <w:jc w:val="both"/>
        <w:rPr>
          <w:rFonts w:ascii="Tahoma" w:hAnsi="Tahoma" w:cs="Tahoma"/>
        </w:rPr>
      </w:pPr>
      <w:r w:rsidRPr="006033CC">
        <w:rPr>
          <w:rFonts w:ascii="Tahoma" w:hAnsi="Tahoma" w:cs="Tahoma"/>
        </w:rPr>
        <w:t xml:space="preserve">Die Preise bestimmen sich nach der jeweils zum Zeitpunkt des Vertragsschlusses gültigen Preisliste von Junker </w:t>
      </w:r>
      <w:r>
        <w:rPr>
          <w:rFonts w:ascii="Tahoma" w:hAnsi="Tahoma" w:cs="Tahoma"/>
        </w:rPr>
        <w:t>Fliesen &amp; Sanierungen</w:t>
      </w:r>
      <w:r w:rsidRPr="006033CC">
        <w:rPr>
          <w:rFonts w:ascii="Tahoma" w:hAnsi="Tahoma" w:cs="Tahoma"/>
        </w:rPr>
        <w:t xml:space="preserve">. </w:t>
      </w:r>
    </w:p>
    <w:p w14:paraId="4CD9E978" w14:textId="77777777" w:rsidR="007F13AE" w:rsidRPr="00866AF8" w:rsidRDefault="007F13AE" w:rsidP="007F13AE">
      <w:pPr>
        <w:ind w:left="357"/>
        <w:jc w:val="both"/>
        <w:rPr>
          <w:rFonts w:ascii="Tahoma" w:hAnsi="Tahoma" w:cs="Tahoma"/>
        </w:rPr>
      </w:pPr>
    </w:p>
    <w:p w14:paraId="5EDE7062" w14:textId="77777777" w:rsidR="007F13AE" w:rsidRPr="006033CC" w:rsidRDefault="007F13AE" w:rsidP="007F13AE">
      <w:pPr>
        <w:pStyle w:val="Listenabsatz"/>
        <w:numPr>
          <w:ilvl w:val="1"/>
          <w:numId w:val="2"/>
        </w:numPr>
        <w:jc w:val="both"/>
        <w:rPr>
          <w:rFonts w:ascii="Tahoma" w:hAnsi="Tahoma" w:cs="Tahoma"/>
        </w:rPr>
      </w:pPr>
      <w:r w:rsidRPr="006033CC">
        <w:rPr>
          <w:rFonts w:ascii="Tahoma" w:hAnsi="Tahoma" w:cs="Tahoma"/>
        </w:rPr>
        <w:t xml:space="preserve">Erscheint die Zahlungsfähigkeit oder Zahlungswilligkeit des Kunden beeinträchtigt, so ist </w:t>
      </w:r>
    </w:p>
    <w:p w14:paraId="168A3B51" w14:textId="77777777" w:rsidR="007F13AE" w:rsidRPr="00866AF8" w:rsidRDefault="007F13AE" w:rsidP="007F13AE">
      <w:pPr>
        <w:ind w:left="499" w:firstLine="363"/>
        <w:jc w:val="both"/>
        <w:rPr>
          <w:rFonts w:ascii="Tahoma" w:hAnsi="Tahoma" w:cs="Tahoma"/>
        </w:rPr>
      </w:pPr>
      <w:r>
        <w:rPr>
          <w:rFonts w:ascii="Tahoma" w:hAnsi="Tahoma" w:cs="Tahoma"/>
        </w:rPr>
        <w:t xml:space="preserve">Junker Fliesen &amp; </w:t>
      </w:r>
      <w:proofErr w:type="gramStart"/>
      <w:r>
        <w:rPr>
          <w:rFonts w:ascii="Tahoma" w:hAnsi="Tahoma" w:cs="Tahoma"/>
        </w:rPr>
        <w:t xml:space="preserve">Sanierungen </w:t>
      </w:r>
      <w:r w:rsidRPr="00866AF8">
        <w:rPr>
          <w:rFonts w:ascii="Tahoma" w:hAnsi="Tahoma" w:cs="Tahoma"/>
        </w:rPr>
        <w:t xml:space="preserve"> berechtigt</w:t>
      </w:r>
      <w:proofErr w:type="gramEnd"/>
      <w:r w:rsidRPr="00866AF8">
        <w:rPr>
          <w:rFonts w:ascii="Tahoma" w:hAnsi="Tahoma" w:cs="Tahoma"/>
        </w:rPr>
        <w:t xml:space="preserve"> vom Vertrag zurückzutreten. </w:t>
      </w:r>
    </w:p>
    <w:p w14:paraId="69F36ADC" w14:textId="77777777" w:rsidR="007F13AE" w:rsidRPr="00866AF8" w:rsidRDefault="007F13AE" w:rsidP="007F13AE">
      <w:pPr>
        <w:jc w:val="both"/>
        <w:rPr>
          <w:rFonts w:ascii="Tahoma" w:hAnsi="Tahoma" w:cs="Tahoma"/>
        </w:rPr>
      </w:pPr>
    </w:p>
    <w:p w14:paraId="3A5777E1"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Annahmeverzug</w:t>
      </w:r>
    </w:p>
    <w:p w14:paraId="16BA3825" w14:textId="77777777" w:rsidR="007F13AE" w:rsidRDefault="007F13AE" w:rsidP="007F13AE">
      <w:pPr>
        <w:ind w:left="720" w:hanging="720"/>
        <w:jc w:val="both"/>
        <w:rPr>
          <w:rFonts w:ascii="Tahoma" w:hAnsi="Tahoma" w:cs="Tahoma"/>
        </w:rPr>
      </w:pPr>
      <w:r w:rsidRPr="00866AF8">
        <w:rPr>
          <w:rFonts w:ascii="Tahoma" w:hAnsi="Tahoma" w:cs="Tahoma"/>
          <w:b/>
        </w:rPr>
        <w:t>4.1</w:t>
      </w:r>
      <w:r w:rsidRPr="00866AF8">
        <w:rPr>
          <w:rFonts w:ascii="Tahoma" w:hAnsi="Tahoma" w:cs="Tahoma"/>
        </w:rPr>
        <w:t xml:space="preserve"> </w:t>
      </w:r>
      <w:r>
        <w:rPr>
          <w:rFonts w:ascii="Tahoma" w:hAnsi="Tahoma" w:cs="Tahoma"/>
        </w:rPr>
        <w:tab/>
      </w:r>
      <w:r w:rsidRPr="00866AF8">
        <w:rPr>
          <w:rFonts w:ascii="Tahoma" w:hAnsi="Tahoma" w:cs="Tahoma"/>
        </w:rPr>
        <w:t xml:space="preserve">Verweigert der Kunde nach Ablauf einer ihm gesetzten angemessenen Nachfrist die Abnahme der Kaufsache oder erklärt er vorher ausdrücklich, dass er nicht abnehmen werde, kann Fliesendesign Junker vom Vertrag zurücktreten und/oder Schadenersatz wegen Nichterfüllung verlangen. </w:t>
      </w:r>
    </w:p>
    <w:p w14:paraId="0108A5C2" w14:textId="77777777" w:rsidR="007F13AE" w:rsidRPr="00866AF8" w:rsidRDefault="007F13AE" w:rsidP="007F13AE">
      <w:pPr>
        <w:ind w:left="357"/>
        <w:jc w:val="both"/>
        <w:rPr>
          <w:rFonts w:ascii="Tahoma" w:hAnsi="Tahoma" w:cs="Tahoma"/>
        </w:rPr>
      </w:pPr>
    </w:p>
    <w:p w14:paraId="43CBAD70" w14:textId="77777777" w:rsidR="007F13AE" w:rsidRDefault="007F13AE" w:rsidP="007F13AE">
      <w:pPr>
        <w:jc w:val="both"/>
        <w:rPr>
          <w:rFonts w:ascii="Tahoma" w:hAnsi="Tahoma" w:cs="Tahoma"/>
        </w:rPr>
      </w:pPr>
      <w:r w:rsidRPr="00866AF8">
        <w:rPr>
          <w:rFonts w:ascii="Tahoma" w:hAnsi="Tahoma" w:cs="Tahoma"/>
          <w:b/>
        </w:rPr>
        <w:t>4.2</w:t>
      </w:r>
      <w:r w:rsidRPr="00866AF8">
        <w:rPr>
          <w:rFonts w:ascii="Tahoma" w:hAnsi="Tahoma" w:cs="Tahoma"/>
        </w:rPr>
        <w:t xml:space="preserve"> </w:t>
      </w:r>
      <w:r>
        <w:rPr>
          <w:rFonts w:ascii="Tahoma" w:hAnsi="Tahoma" w:cs="Tahoma"/>
        </w:rPr>
        <w:tab/>
      </w:r>
      <w:r w:rsidRPr="00866AF8">
        <w:rPr>
          <w:rFonts w:ascii="Tahoma" w:hAnsi="Tahoma" w:cs="Tahoma"/>
        </w:rPr>
        <w:t xml:space="preserve">Der Schadenersatzanspruch wegen Nichterfüllung beläuft sich auf </w:t>
      </w:r>
      <w:r>
        <w:rPr>
          <w:rFonts w:ascii="Tahoma" w:hAnsi="Tahoma" w:cs="Tahoma"/>
        </w:rPr>
        <w:t>10%</w:t>
      </w:r>
      <w:r w:rsidRPr="00866AF8">
        <w:rPr>
          <w:rFonts w:ascii="Tahoma" w:hAnsi="Tahoma" w:cs="Tahoma"/>
        </w:rPr>
        <w:t xml:space="preserve"> des Netto </w:t>
      </w:r>
    </w:p>
    <w:p w14:paraId="77C970BC" w14:textId="77777777" w:rsidR="007F13AE" w:rsidRDefault="007F13AE" w:rsidP="007F13AE">
      <w:pPr>
        <w:ind w:left="720"/>
        <w:jc w:val="both"/>
        <w:rPr>
          <w:rFonts w:ascii="Tahoma" w:hAnsi="Tahoma" w:cs="Tahoma"/>
        </w:rPr>
      </w:pPr>
      <w:r w:rsidRPr="00866AF8">
        <w:rPr>
          <w:rFonts w:ascii="Tahoma" w:hAnsi="Tahoma" w:cs="Tahoma"/>
        </w:rPr>
        <w:t xml:space="preserve">Auftragswertes. </w:t>
      </w:r>
      <w:r>
        <w:rPr>
          <w:rFonts w:ascii="Tahoma" w:hAnsi="Tahoma" w:cs="Tahoma"/>
        </w:rPr>
        <w:t>Beiden Seiten bleibt es vorbehalten nachzuweisen, dass ein wesentlich höherer/geringerer/überhaupt kein Schaden entstanden ist. Diese Regelung über die pauschalierte Berechnung des Schadens gilt auch wenn im Falle der Insolvenz des Kunden der Insolvenzverwalten von seinem Recht Gebrauch macht den Vertrag nicht zu erfüllen.</w:t>
      </w:r>
    </w:p>
    <w:p w14:paraId="470E292E" w14:textId="77777777" w:rsidR="007F13AE" w:rsidRPr="00866AF8" w:rsidRDefault="007F13AE" w:rsidP="007F13AE">
      <w:pPr>
        <w:jc w:val="both"/>
        <w:rPr>
          <w:rFonts w:ascii="Tahoma" w:hAnsi="Tahoma" w:cs="Tahoma"/>
        </w:rPr>
      </w:pPr>
    </w:p>
    <w:p w14:paraId="054EACB2"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Mängelrüge</w:t>
      </w:r>
    </w:p>
    <w:p w14:paraId="5C11CE17" w14:textId="77777777" w:rsidR="007F13AE" w:rsidRDefault="007F13AE" w:rsidP="007F13AE">
      <w:pPr>
        <w:ind w:left="720" w:hanging="720"/>
        <w:jc w:val="both"/>
        <w:rPr>
          <w:rFonts w:ascii="Tahoma" w:hAnsi="Tahoma" w:cs="Tahoma"/>
        </w:rPr>
      </w:pPr>
      <w:r w:rsidRPr="00866AF8">
        <w:rPr>
          <w:rFonts w:ascii="Tahoma" w:hAnsi="Tahoma" w:cs="Tahoma"/>
          <w:b/>
        </w:rPr>
        <w:t>5.1</w:t>
      </w:r>
      <w:r w:rsidRPr="00866AF8">
        <w:rPr>
          <w:rFonts w:ascii="Tahoma" w:hAnsi="Tahoma" w:cs="Tahoma"/>
        </w:rPr>
        <w:t xml:space="preserve"> </w:t>
      </w:r>
      <w:r>
        <w:rPr>
          <w:rFonts w:ascii="Tahoma" w:hAnsi="Tahoma" w:cs="Tahoma"/>
        </w:rPr>
        <w:tab/>
      </w:r>
      <w:r w:rsidRPr="00866AF8">
        <w:rPr>
          <w:rFonts w:ascii="Tahoma" w:hAnsi="Tahoma" w:cs="Tahoma"/>
        </w:rPr>
        <w:t xml:space="preserve">Beanstandungen </w:t>
      </w:r>
      <w:r>
        <w:rPr>
          <w:rFonts w:ascii="Tahoma" w:hAnsi="Tahoma" w:cs="Tahoma"/>
        </w:rPr>
        <w:t xml:space="preserve">seitens der Unternehmer uns </w:t>
      </w:r>
      <w:r w:rsidRPr="00866AF8">
        <w:rPr>
          <w:rFonts w:ascii="Tahoma" w:hAnsi="Tahoma" w:cs="Tahoma"/>
        </w:rPr>
        <w:t xml:space="preserve">müssen innerhalb von 5 Tagen nach Erhalt der Ware schriftlich bei </w:t>
      </w:r>
      <w:r>
        <w:rPr>
          <w:rFonts w:ascii="Tahoma" w:hAnsi="Tahoma" w:cs="Tahoma"/>
        </w:rPr>
        <w:t>Fließendesign Junker</w:t>
      </w:r>
      <w:r w:rsidRPr="00866AF8">
        <w:rPr>
          <w:rFonts w:ascii="Tahoma" w:hAnsi="Tahoma" w:cs="Tahoma"/>
        </w:rPr>
        <w:t xml:space="preserve"> ein</w:t>
      </w:r>
      <w:r>
        <w:rPr>
          <w:rFonts w:ascii="Tahoma" w:hAnsi="Tahoma" w:cs="Tahoma"/>
        </w:rPr>
        <w:t>gegangen sein. Seitens der Verbraucher sind die Mängel schriftlich und innerhalb von fünf Tagen anzuzeigen, wenn die vereinbarte Leistung, neben der Lieferung, den Einbau zum Inhalt hat.</w:t>
      </w:r>
    </w:p>
    <w:p w14:paraId="321C32D4" w14:textId="77777777" w:rsidR="007F13AE" w:rsidRDefault="007F13AE" w:rsidP="007F13AE">
      <w:pPr>
        <w:ind w:left="720" w:hanging="720"/>
        <w:jc w:val="both"/>
        <w:rPr>
          <w:rFonts w:ascii="Tahoma" w:hAnsi="Tahoma" w:cs="Tahoma"/>
        </w:rPr>
      </w:pPr>
    </w:p>
    <w:p w14:paraId="7ED6CD1F" w14:textId="77777777" w:rsidR="007F13AE" w:rsidRPr="00866AF8" w:rsidRDefault="007F13AE" w:rsidP="007F13AE">
      <w:pPr>
        <w:ind w:left="720" w:hanging="720"/>
        <w:jc w:val="both"/>
        <w:rPr>
          <w:rFonts w:ascii="Tahoma" w:hAnsi="Tahoma" w:cs="Tahoma"/>
        </w:rPr>
      </w:pPr>
      <w:r w:rsidRPr="00782B01">
        <w:rPr>
          <w:rFonts w:ascii="Tahoma" w:hAnsi="Tahoma" w:cs="Tahoma"/>
          <w:b/>
        </w:rPr>
        <w:t>5.2</w:t>
      </w:r>
      <w:r>
        <w:rPr>
          <w:rFonts w:ascii="Tahoma" w:hAnsi="Tahoma" w:cs="Tahoma"/>
        </w:rPr>
        <w:tab/>
      </w:r>
      <w:r w:rsidRPr="00866AF8">
        <w:rPr>
          <w:rFonts w:ascii="Tahoma" w:hAnsi="Tahoma" w:cs="Tahoma"/>
        </w:rPr>
        <w:t xml:space="preserve">Farbabweichungen zwischen Musterfliesen und gelieferten Fliesen sind produktionsbedingt und deswegen kein Reklamationsgrund. Sämtliche Muster sind lediglich als unverbindliche Durchschnittsmuster zu betrachten. Gleiches gilt für Farbdifferenzen zwischen dekorierten und nicht dekorierten Fliesen. Bei Nachbestellungen kann keine Gewähr für Farbgleichheit gegenüber bereits gelieferter Ware übernommen werden. Bestimmte Glasuren neigen zu Haarrissbildung und sind kein Reklamationsgrund. Sofern es sich um keine handelsüblichen Fliesen, sondern um Gold-, Silber-, Glas- oder ähnlichen Materialien bzw. Auflagen handelt, ist die Verarbeitung und Reinigung unbedingt vorher bei </w:t>
      </w:r>
      <w:r>
        <w:rPr>
          <w:rFonts w:ascii="Tahoma" w:hAnsi="Tahoma" w:cs="Tahoma"/>
        </w:rPr>
        <w:t>Junker Fliesen &amp; Sanierungen</w:t>
      </w:r>
      <w:r w:rsidRPr="00866AF8">
        <w:rPr>
          <w:rFonts w:ascii="Tahoma" w:hAnsi="Tahoma" w:cs="Tahoma"/>
        </w:rPr>
        <w:t xml:space="preserve"> zu erfragen. Natursteinplatten können in Farbe, Stärke und Bearbeitung nicht ganz einheitlich werden, diesbezüglich Abweichungen stellen keinen Mangel der Kaufsache dar, selbst wenn die Lieferung nach vorgelegten Durchschnittsmustern zu geschehen hat. Hinsichtlich der Stärke ist bei Natursteinplatten zu dem vorgeschriebenen Spielraum noch eine Toleranz von mindestens </w:t>
      </w:r>
      <w:r w:rsidRPr="00866AF8">
        <w:rPr>
          <w:rFonts w:ascii="Tahoma" w:hAnsi="Tahoma" w:cs="Tahoma"/>
        </w:rPr>
        <w:lastRenderedPageBreak/>
        <w:t>10% zu gewähren. Natürliche Struktur- und Farbschwankungen, vorkommende offene Stellen, Adern und Flecken gehören zu Eigenart von Naturstein und machen seine Schönheit und sei</w:t>
      </w:r>
      <w:r>
        <w:rPr>
          <w:rFonts w:ascii="Tahoma" w:hAnsi="Tahoma" w:cs="Tahoma"/>
        </w:rPr>
        <w:t>nen Reiz</w:t>
      </w:r>
      <w:r w:rsidRPr="00866AF8">
        <w:rPr>
          <w:rFonts w:ascii="Tahoma" w:hAnsi="Tahoma" w:cs="Tahoma"/>
        </w:rPr>
        <w:t xml:space="preserve"> aus, Reklamatio</w:t>
      </w:r>
      <w:r>
        <w:rPr>
          <w:rFonts w:ascii="Tahoma" w:hAnsi="Tahoma" w:cs="Tahoma"/>
        </w:rPr>
        <w:t>nen diesbezüglich sind daher</w:t>
      </w:r>
      <w:r w:rsidRPr="00866AF8">
        <w:rPr>
          <w:rFonts w:ascii="Tahoma" w:hAnsi="Tahoma" w:cs="Tahoma"/>
        </w:rPr>
        <w:t xml:space="preserve"> ausgeschlossen. </w:t>
      </w:r>
    </w:p>
    <w:p w14:paraId="118823DD" w14:textId="30AA3253" w:rsidR="007F13AE" w:rsidRDefault="007F13AE" w:rsidP="007F13AE">
      <w:pPr>
        <w:jc w:val="both"/>
        <w:rPr>
          <w:rFonts w:ascii="Tahoma" w:hAnsi="Tahoma" w:cs="Tahoma"/>
        </w:rPr>
      </w:pPr>
    </w:p>
    <w:p w14:paraId="29CBFB4F" w14:textId="77777777" w:rsidR="007F13AE" w:rsidRPr="00866AF8" w:rsidRDefault="007F13AE" w:rsidP="007F13AE">
      <w:pPr>
        <w:ind w:left="720" w:hanging="720"/>
        <w:jc w:val="both"/>
        <w:rPr>
          <w:rFonts w:ascii="Tahoma" w:hAnsi="Tahoma" w:cs="Tahoma"/>
        </w:rPr>
      </w:pPr>
      <w:r w:rsidRPr="000040DA">
        <w:rPr>
          <w:rFonts w:ascii="Tahoma" w:hAnsi="Tahoma" w:cs="Tahoma"/>
          <w:b/>
        </w:rPr>
        <w:t>5.4</w:t>
      </w:r>
      <w:r>
        <w:rPr>
          <w:rFonts w:ascii="Tahoma" w:hAnsi="Tahoma" w:cs="Tahoma"/>
        </w:rPr>
        <w:tab/>
      </w:r>
      <w:r w:rsidRPr="00866AF8">
        <w:rPr>
          <w:rFonts w:ascii="Tahoma" w:hAnsi="Tahoma" w:cs="Tahoma"/>
        </w:rPr>
        <w:t xml:space="preserve">Eine Abnahme erfolgt spätestens nach 5 Tagen der Fertigstellung, darüber hinaus wird die Leistung als Mangelfrei abgenommen. </w:t>
      </w:r>
      <w:r>
        <w:rPr>
          <w:rFonts w:ascii="Tahoma" w:hAnsi="Tahoma" w:cs="Tahoma"/>
        </w:rPr>
        <w:t>Die Abnahme darf nicht wegen unwesentlicher Mängel verweigert werden.</w:t>
      </w:r>
    </w:p>
    <w:p w14:paraId="479FF19F" w14:textId="77777777" w:rsidR="007F13AE" w:rsidRPr="00866AF8" w:rsidRDefault="007F13AE" w:rsidP="007F13AE">
      <w:pPr>
        <w:jc w:val="both"/>
        <w:rPr>
          <w:rFonts w:ascii="Tahoma" w:hAnsi="Tahoma" w:cs="Tahoma"/>
        </w:rPr>
      </w:pPr>
    </w:p>
    <w:p w14:paraId="5E0535CE"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Rücknahme</w:t>
      </w:r>
    </w:p>
    <w:p w14:paraId="73E9A3A1" w14:textId="77777777" w:rsidR="007F13AE" w:rsidRPr="00866AF8" w:rsidRDefault="007F13AE" w:rsidP="007F13AE">
      <w:pPr>
        <w:ind w:left="720"/>
        <w:jc w:val="both"/>
        <w:rPr>
          <w:rFonts w:ascii="Tahoma" w:hAnsi="Tahoma" w:cs="Tahoma"/>
        </w:rPr>
      </w:pPr>
      <w:r w:rsidRPr="00866AF8">
        <w:rPr>
          <w:rFonts w:ascii="Tahoma" w:hAnsi="Tahoma" w:cs="Tahoma"/>
        </w:rPr>
        <w:t xml:space="preserve">Eine Rücknahme der Ware außerhalb des Gewährleistungsrechts ist nur mit Zustimmung </w:t>
      </w:r>
      <w:r>
        <w:rPr>
          <w:rFonts w:ascii="Tahoma" w:hAnsi="Tahoma" w:cs="Tahoma"/>
        </w:rPr>
        <w:t>von Fließendesign Junker</w:t>
      </w:r>
      <w:r w:rsidRPr="00866AF8">
        <w:rPr>
          <w:rFonts w:ascii="Tahoma" w:hAnsi="Tahoma" w:cs="Tahoma"/>
        </w:rPr>
        <w:t xml:space="preserve"> möglich. In diesem Fall wird ein Verwaltungsaufwand in Höhe von 15 % des Warenwertes berechnet. Mehrwegpaletten werden nur unbeschädigt zurückgenommen. </w:t>
      </w:r>
    </w:p>
    <w:p w14:paraId="653744CF" w14:textId="77777777" w:rsidR="007F13AE" w:rsidRDefault="007F13AE" w:rsidP="007F13AE">
      <w:pPr>
        <w:jc w:val="both"/>
        <w:rPr>
          <w:rFonts w:ascii="Tahoma" w:hAnsi="Tahoma" w:cs="Tahoma"/>
        </w:rPr>
      </w:pPr>
    </w:p>
    <w:p w14:paraId="7EC7B744"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 xml:space="preserve">Eigentumsvorbehalt </w:t>
      </w:r>
    </w:p>
    <w:p w14:paraId="0345FAB0" w14:textId="77777777" w:rsidR="007F13AE" w:rsidRPr="00866AF8" w:rsidRDefault="007F13AE" w:rsidP="007F13AE">
      <w:pPr>
        <w:ind w:left="720" w:hanging="720"/>
        <w:jc w:val="both"/>
        <w:rPr>
          <w:rFonts w:ascii="Tahoma" w:hAnsi="Tahoma" w:cs="Tahoma"/>
        </w:rPr>
      </w:pPr>
      <w:r w:rsidRPr="00866AF8">
        <w:rPr>
          <w:rFonts w:ascii="Tahoma" w:hAnsi="Tahoma" w:cs="Tahoma"/>
          <w:b/>
        </w:rPr>
        <w:t>7.1</w:t>
      </w:r>
      <w:r w:rsidRPr="00866AF8">
        <w:rPr>
          <w:rFonts w:ascii="Tahoma" w:hAnsi="Tahoma" w:cs="Tahoma"/>
        </w:rPr>
        <w:t xml:space="preserve"> </w:t>
      </w:r>
      <w:r>
        <w:rPr>
          <w:rFonts w:ascii="Tahoma" w:hAnsi="Tahoma" w:cs="Tahoma"/>
        </w:rPr>
        <w:tab/>
      </w:r>
      <w:r w:rsidRPr="00866AF8">
        <w:rPr>
          <w:rFonts w:ascii="Tahoma" w:hAnsi="Tahoma" w:cs="Tahoma"/>
        </w:rPr>
        <w:t>Die gelieferte Ware, die nur in ordnungsgemäßen Geschäftsgang weiter veräußert, bearbeitet oder verarbeite</w:t>
      </w:r>
      <w:r>
        <w:rPr>
          <w:rFonts w:ascii="Tahoma" w:hAnsi="Tahoma" w:cs="Tahoma"/>
        </w:rPr>
        <w:t xml:space="preserve">t werden darf, bleibt Eigentum von </w:t>
      </w:r>
      <w:r w:rsidRPr="00866AF8">
        <w:rPr>
          <w:rFonts w:ascii="Tahoma" w:hAnsi="Tahoma" w:cs="Tahoma"/>
        </w:rPr>
        <w:t>Fliesendesign Junker, bis der Abnehmer sämtliche Forderungen aus der Geschäftsbindung bezahlt hat. Die Verarbeitung der Vorbehaltsware erfolgt für Fliesendesign Junker als Lieferant</w:t>
      </w:r>
      <w:r>
        <w:rPr>
          <w:rFonts w:ascii="Tahoma" w:hAnsi="Tahoma" w:cs="Tahoma"/>
        </w:rPr>
        <w:t>en</w:t>
      </w:r>
      <w:r w:rsidRPr="00866AF8">
        <w:rPr>
          <w:rFonts w:ascii="Tahoma" w:hAnsi="Tahoma" w:cs="Tahoma"/>
        </w:rPr>
        <w:t xml:space="preserve"> im Sinne des § 950 BGB, ohne Fliesendesign Junker</w:t>
      </w:r>
      <w:r>
        <w:rPr>
          <w:rFonts w:ascii="Tahoma" w:hAnsi="Tahoma" w:cs="Tahoma"/>
        </w:rPr>
        <w:t xml:space="preserve"> selbst</w:t>
      </w:r>
      <w:r w:rsidRPr="00866AF8">
        <w:rPr>
          <w:rFonts w:ascii="Tahoma" w:hAnsi="Tahoma" w:cs="Tahoma"/>
        </w:rPr>
        <w:t xml:space="preserve"> zu verpflichten. Die verarbeitete Ware gilt als Vorbehaltsware. Bei Verarbeitung, Verbindung und Vermischung der Vorbehaltsware mit anderen Fliesendesign Junker nicht gehörenden Sachen durch den Abnehmer, steht Fliesendesign Junker das Miteigentum an der neuen Sache, im Verhältnis des Rechnungswertes der Vorbehaltsware zu der Summe der Rechnungswerte der anderen verwendeten Sachen zu. Erlischt Fliesendesign Junkers Eigentum durch Verarbeitung, Verbindung oder Vermischung, so überträgt Fliesendesign Junker der Abnehmer bereits jetzt der ihm zustehenden Eigentumsrechte an dem neuen Bestand, oder der Sache. Im Verhältnis des Rechnungswertes der Vorbehaltsware zum Rechnungswert der anderen verwendeten Sachen. Vor endgültigem Eigentumsübergang darf die Ware weder </w:t>
      </w:r>
      <w:proofErr w:type="gramStart"/>
      <w:r w:rsidRPr="00866AF8">
        <w:rPr>
          <w:rFonts w:ascii="Tahoma" w:hAnsi="Tahoma" w:cs="Tahoma"/>
        </w:rPr>
        <w:t>Verpfändet</w:t>
      </w:r>
      <w:proofErr w:type="gramEnd"/>
      <w:r w:rsidRPr="00866AF8">
        <w:rPr>
          <w:rFonts w:ascii="Tahoma" w:hAnsi="Tahoma" w:cs="Tahoma"/>
        </w:rPr>
        <w:t>, noch zur Sicherung übereignet werden. Etwaige Pfändungsmaßnahmen Dritter sind Fliesendesign Junker sofort mitzuteilen. Werden die gelieferten Waren in ir</w:t>
      </w:r>
      <w:r>
        <w:rPr>
          <w:rFonts w:ascii="Tahoma" w:hAnsi="Tahoma" w:cs="Tahoma"/>
        </w:rPr>
        <w:t>gendeiner Form vor v</w:t>
      </w:r>
      <w:r w:rsidRPr="00866AF8">
        <w:rPr>
          <w:rFonts w:ascii="Tahoma" w:hAnsi="Tahoma" w:cs="Tahoma"/>
        </w:rPr>
        <w:t xml:space="preserve">ollständiger Bezahlung veräußert, so gilt die hierdurch entstehende Kaufgeldforderung bei ihrer Entstehung als an Fliesendesign Junker abgetreten. </w:t>
      </w:r>
    </w:p>
    <w:p w14:paraId="2EAEEE68" w14:textId="77777777" w:rsidR="007F13AE" w:rsidRDefault="007F13AE" w:rsidP="007F13AE">
      <w:pPr>
        <w:jc w:val="both"/>
        <w:rPr>
          <w:rFonts w:ascii="Tahoma" w:hAnsi="Tahoma" w:cs="Tahoma"/>
        </w:rPr>
      </w:pPr>
    </w:p>
    <w:p w14:paraId="099DA8FD" w14:textId="77777777" w:rsidR="007F13AE" w:rsidRPr="00866AF8" w:rsidRDefault="007F13AE" w:rsidP="007F13AE">
      <w:pPr>
        <w:pStyle w:val="Listenabsatz"/>
        <w:numPr>
          <w:ilvl w:val="0"/>
          <w:numId w:val="2"/>
        </w:numPr>
        <w:ind w:left="357" w:hanging="357"/>
        <w:jc w:val="both"/>
        <w:rPr>
          <w:rFonts w:ascii="Tahoma" w:hAnsi="Tahoma" w:cs="Tahoma"/>
          <w:b/>
          <w:smallCaps/>
        </w:rPr>
      </w:pPr>
      <w:r>
        <w:rPr>
          <w:rFonts w:ascii="Tahoma" w:hAnsi="Tahoma" w:cs="Tahoma"/>
          <w:b/>
          <w:smallCaps/>
        </w:rPr>
        <w:t>Haftungsausschluss</w:t>
      </w:r>
    </w:p>
    <w:p w14:paraId="423FBB29" w14:textId="77777777" w:rsidR="007F13AE" w:rsidRDefault="007F13AE" w:rsidP="007F13AE">
      <w:pPr>
        <w:ind w:left="720" w:hanging="720"/>
        <w:jc w:val="both"/>
        <w:rPr>
          <w:rFonts w:ascii="Tahoma" w:hAnsi="Tahoma" w:cs="Tahoma"/>
        </w:rPr>
      </w:pPr>
      <w:r w:rsidRPr="00EB256B">
        <w:rPr>
          <w:rFonts w:ascii="Tahoma" w:hAnsi="Tahoma" w:cs="Tahoma"/>
          <w:b/>
        </w:rPr>
        <w:t>8.1</w:t>
      </w:r>
      <w:r>
        <w:rPr>
          <w:rFonts w:ascii="Tahoma" w:hAnsi="Tahoma" w:cs="Tahoma"/>
        </w:rPr>
        <w:tab/>
        <w:t>Auf die Spezialität der sogenannten</w:t>
      </w:r>
      <w:r w:rsidRPr="00866AF8">
        <w:rPr>
          <w:rFonts w:ascii="Tahoma" w:hAnsi="Tahoma" w:cs="Tahoma"/>
        </w:rPr>
        <w:t xml:space="preserve"> „Wartungsfuge“ </w:t>
      </w:r>
      <w:r>
        <w:rPr>
          <w:rFonts w:ascii="Tahoma" w:hAnsi="Tahoma" w:cs="Tahoma"/>
        </w:rPr>
        <w:t xml:space="preserve">ist zu achten. Es handelt sich um Fugen </w:t>
      </w:r>
      <w:r w:rsidRPr="00866AF8">
        <w:rPr>
          <w:rFonts w:ascii="Tahoma" w:hAnsi="Tahoma" w:cs="Tahoma"/>
        </w:rPr>
        <w:t>für Fugenabdichtungen mit elastischen Fugendichtmassen wie z.B. bei Boden – Wandanschlussfugen in Sanitärbereichen, bei Dehnungsfugen in Schwimmbädern und bei elastischen Fugen in Bau- Baunebengewerbe allgemeine, wird</w:t>
      </w:r>
      <w:r>
        <w:rPr>
          <w:rFonts w:ascii="Tahoma" w:hAnsi="Tahoma" w:cs="Tahoma"/>
        </w:rPr>
        <w:t xml:space="preserve"> in der DIN 52460 beschrieben: Die Wartungsfuge ist eine </w:t>
      </w:r>
      <w:r w:rsidRPr="00866AF8">
        <w:rPr>
          <w:rFonts w:ascii="Tahoma" w:hAnsi="Tahoma" w:cs="Tahoma"/>
        </w:rPr>
        <w:t>starken chemischen und/ oder physikalischen Einflüssen ausgesetzte</w:t>
      </w:r>
      <w:r>
        <w:rPr>
          <w:rFonts w:ascii="Tahoma" w:hAnsi="Tahoma" w:cs="Tahoma"/>
        </w:rPr>
        <w:t>,</w:t>
      </w:r>
      <w:r w:rsidRPr="00866AF8">
        <w:rPr>
          <w:rFonts w:ascii="Tahoma" w:hAnsi="Tahoma" w:cs="Tahoma"/>
        </w:rPr>
        <w:t xml:space="preserve"> Fuge, deren Dichtstoff in regelmäßigen Zeitabständen überprüft und</w:t>
      </w:r>
      <w:r>
        <w:rPr>
          <w:rFonts w:ascii="Tahoma" w:hAnsi="Tahoma" w:cs="Tahoma"/>
        </w:rPr>
        <w:t xml:space="preserve"> ggf. erneuert werden muss. </w:t>
      </w:r>
      <w:r w:rsidRPr="00866AF8">
        <w:rPr>
          <w:rFonts w:ascii="Tahoma" w:hAnsi="Tahoma" w:cs="Tahoma"/>
        </w:rPr>
        <w:t>Wartungsfugen unterliegen nicht d</w:t>
      </w:r>
      <w:r>
        <w:rPr>
          <w:rFonts w:ascii="Tahoma" w:hAnsi="Tahoma" w:cs="Tahoma"/>
        </w:rPr>
        <w:t>er Gewährleistung.</w:t>
      </w:r>
    </w:p>
    <w:p w14:paraId="21FBF6CD" w14:textId="77777777" w:rsidR="007F13AE" w:rsidRDefault="007F13AE" w:rsidP="007F13AE">
      <w:pPr>
        <w:ind w:left="720"/>
        <w:jc w:val="both"/>
        <w:rPr>
          <w:rFonts w:ascii="Tahoma" w:hAnsi="Tahoma" w:cs="Tahoma"/>
        </w:rPr>
      </w:pPr>
    </w:p>
    <w:p w14:paraId="5A37E752" w14:textId="77777777" w:rsidR="007F13AE" w:rsidRPr="00701282" w:rsidRDefault="007F13AE" w:rsidP="007F13AE">
      <w:pPr>
        <w:ind w:left="720" w:hanging="720"/>
        <w:jc w:val="both"/>
        <w:rPr>
          <w:rFonts w:ascii="Tahoma" w:hAnsi="Tahoma" w:cs="Tahoma"/>
        </w:rPr>
      </w:pPr>
      <w:r>
        <w:rPr>
          <w:rFonts w:ascii="Tahoma" w:hAnsi="Tahoma" w:cs="Tahoma"/>
          <w:b/>
        </w:rPr>
        <w:t>8.2.</w:t>
      </w:r>
      <w:r>
        <w:rPr>
          <w:rFonts w:ascii="Tahoma" w:hAnsi="Tahoma" w:cs="Tahoma"/>
          <w:b/>
        </w:rPr>
        <w:tab/>
      </w:r>
      <w:r w:rsidRPr="00866AF8">
        <w:rPr>
          <w:rFonts w:ascii="Tahoma" w:hAnsi="Tahoma" w:cs="Tahoma"/>
        </w:rPr>
        <w:t>Bewegungen, welche die mögliche Gesamtverformung</w:t>
      </w:r>
      <w:r>
        <w:rPr>
          <w:rFonts w:ascii="Tahoma" w:hAnsi="Tahoma" w:cs="Tahoma"/>
        </w:rPr>
        <w:t xml:space="preserve"> des Dichtstoffes übersteigen, e</w:t>
      </w:r>
      <w:r w:rsidRPr="00866AF8">
        <w:rPr>
          <w:rFonts w:ascii="Tahoma" w:hAnsi="Tahoma" w:cs="Tahoma"/>
        </w:rPr>
        <w:t>gal ob diese durch Gebäudesetzung, Planungs- bzw. Ausführungsfehler, durch Formänderung (</w:t>
      </w:r>
      <w:proofErr w:type="spellStart"/>
      <w:r w:rsidRPr="00866AF8">
        <w:rPr>
          <w:rFonts w:ascii="Tahoma" w:hAnsi="Tahoma" w:cs="Tahoma"/>
        </w:rPr>
        <w:t>Auf</w:t>
      </w:r>
      <w:r>
        <w:rPr>
          <w:rFonts w:ascii="Tahoma" w:hAnsi="Tahoma" w:cs="Tahoma"/>
        </w:rPr>
        <w:t>schüsseln</w:t>
      </w:r>
      <w:proofErr w:type="spellEnd"/>
      <w:r>
        <w:rPr>
          <w:rFonts w:ascii="Tahoma" w:hAnsi="Tahoma" w:cs="Tahoma"/>
        </w:rPr>
        <w:t xml:space="preserve"> vom Estrich etc.), bei </w:t>
      </w:r>
      <w:r w:rsidRPr="00866AF8">
        <w:rPr>
          <w:rFonts w:ascii="Tahoma" w:hAnsi="Tahoma" w:cs="Tahoma"/>
        </w:rPr>
        <w:t>frühzeitiger Verlegung von Fliesen und Platten durch Wärmedehnung (z.B. Fussbodenheizung) oder durch andere Faktoren verursacht wurde</w:t>
      </w:r>
      <w:r>
        <w:rPr>
          <w:rFonts w:ascii="Tahoma" w:hAnsi="Tahoma" w:cs="Tahoma"/>
        </w:rPr>
        <w:t>n</w:t>
      </w:r>
      <w:r w:rsidRPr="00866AF8">
        <w:rPr>
          <w:rFonts w:ascii="Tahoma" w:hAnsi="Tahoma" w:cs="Tahoma"/>
        </w:rPr>
        <w:t xml:space="preserve">, führen </w:t>
      </w:r>
      <w:proofErr w:type="gramStart"/>
      <w:r w:rsidRPr="00866AF8">
        <w:rPr>
          <w:rFonts w:ascii="Tahoma" w:hAnsi="Tahoma" w:cs="Tahoma"/>
        </w:rPr>
        <w:t>Zwangsläufig</w:t>
      </w:r>
      <w:proofErr w:type="gramEnd"/>
      <w:r w:rsidRPr="00866AF8">
        <w:rPr>
          <w:rFonts w:ascii="Tahoma" w:hAnsi="Tahoma" w:cs="Tahoma"/>
        </w:rPr>
        <w:t xml:space="preserve"> zu Fugenabrissen. </w:t>
      </w:r>
      <w:r>
        <w:rPr>
          <w:rFonts w:ascii="Tahoma" w:hAnsi="Tahoma" w:cs="Tahoma"/>
        </w:rPr>
        <w:t xml:space="preserve">Auch hier übernimmt </w:t>
      </w:r>
      <w:proofErr w:type="spellStart"/>
      <w:r>
        <w:rPr>
          <w:rFonts w:ascii="Tahoma" w:hAnsi="Tahoma" w:cs="Tahoma"/>
        </w:rPr>
        <w:t>Fließendesing</w:t>
      </w:r>
      <w:proofErr w:type="spellEnd"/>
      <w:r>
        <w:rPr>
          <w:rFonts w:ascii="Tahoma" w:hAnsi="Tahoma" w:cs="Tahoma"/>
        </w:rPr>
        <w:t xml:space="preserve"> Junker keine Haftung.</w:t>
      </w:r>
    </w:p>
    <w:p w14:paraId="22D9A8CF" w14:textId="77777777" w:rsidR="007F13AE" w:rsidRPr="00866AF8" w:rsidRDefault="007F13AE" w:rsidP="007F13AE">
      <w:pPr>
        <w:jc w:val="both"/>
        <w:rPr>
          <w:rFonts w:ascii="Tahoma" w:hAnsi="Tahoma" w:cs="Tahoma"/>
        </w:rPr>
      </w:pPr>
    </w:p>
    <w:p w14:paraId="132DD4D5"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Erfüllungsort/Gerichtstand und anzuwendendes Recht</w:t>
      </w:r>
    </w:p>
    <w:p w14:paraId="56606D86" w14:textId="77777777" w:rsidR="007F13AE" w:rsidRPr="00866AF8" w:rsidRDefault="007F13AE" w:rsidP="007F13AE">
      <w:pPr>
        <w:ind w:left="720"/>
        <w:jc w:val="both"/>
        <w:rPr>
          <w:rFonts w:ascii="Tahoma" w:hAnsi="Tahoma" w:cs="Tahoma"/>
        </w:rPr>
      </w:pPr>
      <w:r w:rsidRPr="00866AF8">
        <w:rPr>
          <w:rFonts w:ascii="Tahoma" w:hAnsi="Tahoma" w:cs="Tahoma"/>
        </w:rPr>
        <w:t xml:space="preserve">Erfüllungsort für Zahlung und Lieferung ist </w:t>
      </w:r>
      <w:r>
        <w:rPr>
          <w:rFonts w:ascii="Tahoma" w:hAnsi="Tahoma" w:cs="Tahoma"/>
        </w:rPr>
        <w:t xml:space="preserve">am </w:t>
      </w:r>
      <w:r w:rsidRPr="00866AF8">
        <w:rPr>
          <w:rFonts w:ascii="Tahoma" w:hAnsi="Tahoma" w:cs="Tahoma"/>
        </w:rPr>
        <w:t xml:space="preserve">Fliesendesign Junkers Firmensitz, Gerichtsstand, ist das Amts- bzw. Landgericht Augsburg. </w:t>
      </w:r>
    </w:p>
    <w:p w14:paraId="2E40AF00" w14:textId="77777777" w:rsidR="007F13AE" w:rsidRPr="00866AF8" w:rsidRDefault="007F13AE" w:rsidP="007F13AE">
      <w:pPr>
        <w:jc w:val="both"/>
        <w:rPr>
          <w:rFonts w:ascii="Tahoma" w:hAnsi="Tahoma" w:cs="Tahoma"/>
        </w:rPr>
      </w:pPr>
    </w:p>
    <w:p w14:paraId="028652B1" w14:textId="77777777" w:rsidR="007F13AE" w:rsidRPr="00866AF8" w:rsidRDefault="007F13AE" w:rsidP="007F13AE">
      <w:pPr>
        <w:pStyle w:val="Listenabsatz"/>
        <w:numPr>
          <w:ilvl w:val="0"/>
          <w:numId w:val="2"/>
        </w:numPr>
        <w:ind w:left="357" w:hanging="357"/>
        <w:jc w:val="both"/>
        <w:rPr>
          <w:rFonts w:ascii="Tahoma" w:hAnsi="Tahoma" w:cs="Tahoma"/>
          <w:b/>
          <w:smallCaps/>
        </w:rPr>
      </w:pPr>
      <w:r w:rsidRPr="00866AF8">
        <w:rPr>
          <w:rFonts w:ascii="Tahoma" w:hAnsi="Tahoma" w:cs="Tahoma"/>
          <w:b/>
          <w:smallCaps/>
        </w:rPr>
        <w:t>Schlussvorschriften</w:t>
      </w:r>
    </w:p>
    <w:p w14:paraId="3201141D" w14:textId="77777777" w:rsidR="007F13AE" w:rsidRPr="00866AF8" w:rsidRDefault="007F13AE" w:rsidP="007F13AE">
      <w:pPr>
        <w:ind w:left="720"/>
        <w:jc w:val="both"/>
        <w:rPr>
          <w:rFonts w:ascii="Tahoma" w:hAnsi="Tahoma" w:cs="Tahoma"/>
        </w:rPr>
      </w:pPr>
      <w:r>
        <w:rPr>
          <w:rFonts w:ascii="Tahoma" w:hAnsi="Tahoma" w:cs="Tahoma"/>
        </w:rPr>
        <w:t xml:space="preserve">Die eventuelle </w:t>
      </w:r>
      <w:r w:rsidRPr="00866AF8">
        <w:rPr>
          <w:rFonts w:ascii="Tahoma" w:hAnsi="Tahoma" w:cs="Tahoma"/>
        </w:rPr>
        <w:t>Rechtsunwirksamkeit einzel</w:t>
      </w:r>
      <w:r>
        <w:rPr>
          <w:rFonts w:ascii="Tahoma" w:hAnsi="Tahoma" w:cs="Tahoma"/>
        </w:rPr>
        <w:t>ner Bestimmungen beeinträchtigt</w:t>
      </w:r>
      <w:r w:rsidRPr="00866AF8">
        <w:rPr>
          <w:rFonts w:ascii="Tahoma" w:hAnsi="Tahoma" w:cs="Tahoma"/>
        </w:rPr>
        <w:t xml:space="preserve"> die Rechtsverbindlichkeit der </w:t>
      </w:r>
      <w:r>
        <w:rPr>
          <w:rFonts w:ascii="Tahoma" w:hAnsi="Tahoma" w:cs="Tahoma"/>
        </w:rPr>
        <w:t>allgemeinen Geschäftsbedingungen</w:t>
      </w:r>
      <w:r w:rsidRPr="00866AF8">
        <w:rPr>
          <w:rFonts w:ascii="Tahoma" w:hAnsi="Tahoma" w:cs="Tahoma"/>
        </w:rPr>
        <w:t xml:space="preserve"> nicht. </w:t>
      </w:r>
    </w:p>
    <w:p w14:paraId="6E6D679C" w14:textId="77777777" w:rsidR="007F13AE" w:rsidRPr="00866AF8" w:rsidRDefault="007F13AE" w:rsidP="007F13AE">
      <w:pPr>
        <w:rPr>
          <w:rFonts w:ascii="Tahoma" w:hAnsi="Tahoma" w:cs="Tahoma"/>
        </w:rPr>
      </w:pPr>
    </w:p>
    <w:p w14:paraId="762CCC05" w14:textId="77777777" w:rsidR="007F13AE" w:rsidRPr="00866AF8" w:rsidRDefault="007F13AE" w:rsidP="007F13AE">
      <w:pPr>
        <w:rPr>
          <w:rFonts w:ascii="Tahoma" w:hAnsi="Tahoma" w:cs="Tahoma"/>
        </w:rPr>
      </w:pPr>
      <w:bookmarkStart w:id="0" w:name="MerkPosIDE"/>
      <w:bookmarkEnd w:id="0"/>
    </w:p>
    <w:p w14:paraId="2F9BE1DD" w14:textId="77777777" w:rsidR="00291651" w:rsidRDefault="00291651"/>
    <w:sectPr w:rsidR="00291651" w:rsidSect="007F13AE">
      <w:headerReference w:type="default" r:id="rId7"/>
      <w:footerReference w:type="first" r:id="rId8"/>
      <w:pgSz w:w="11911" w:h="16832" w:code="9"/>
      <w:pgMar w:top="720" w:right="720" w:bottom="720" w:left="720" w:header="680" w:footer="28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FC4B" w14:textId="77777777" w:rsidR="007F13AE" w:rsidRDefault="007F13AE" w:rsidP="007F13AE">
      <w:r>
        <w:separator/>
      </w:r>
    </w:p>
  </w:endnote>
  <w:endnote w:type="continuationSeparator" w:id="0">
    <w:p w14:paraId="0F4E9221" w14:textId="77777777" w:rsidR="007F13AE" w:rsidRDefault="007F13AE" w:rsidP="007F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F7C3" w14:textId="77777777" w:rsidR="007F13AE" w:rsidRDefault="007F13AE" w:rsidP="009E56BD">
    <w:pPr>
      <w:pStyle w:val="Fuzeile"/>
      <w:tabs>
        <w:tab w:val="clear" w:pos="9072"/>
      </w:tabs>
      <w:ind w:right="2271"/>
      <w:jc w:val="center"/>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4D7C" w14:textId="77777777" w:rsidR="007F13AE" w:rsidRDefault="007F13AE" w:rsidP="007F13AE">
      <w:r>
        <w:separator/>
      </w:r>
    </w:p>
  </w:footnote>
  <w:footnote w:type="continuationSeparator" w:id="0">
    <w:p w14:paraId="5AEEBEFB" w14:textId="77777777" w:rsidR="007F13AE" w:rsidRDefault="007F13AE" w:rsidP="007F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ACEB" w14:textId="77777777" w:rsidR="007F13AE" w:rsidRDefault="007F13AE" w:rsidP="00FD7715">
    <w:pPr>
      <w:pStyle w:val="Kopfzeile"/>
      <w:shd w:val="clear" w:color="auto" w:fill="CCCCCC"/>
      <w:tabs>
        <w:tab w:val="clear" w:pos="9072"/>
      </w:tabs>
      <w:ind w:right="3"/>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4739AA88" wp14:editId="0A4FF588">
              <wp:simplePos x="0" y="0"/>
              <wp:positionH relativeFrom="column">
                <wp:posOffset>5097780</wp:posOffset>
              </wp:positionH>
              <wp:positionV relativeFrom="paragraph">
                <wp:posOffset>-273050</wp:posOffset>
              </wp:positionV>
              <wp:extent cx="1245235" cy="734695"/>
              <wp:effectExtent l="1905" t="3175" r="635" b="0"/>
              <wp:wrapNone/>
              <wp:docPr id="112144673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734695"/>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8B18E1" w14:textId="77777777" w:rsidR="007F13AE" w:rsidRPr="00A76F47" w:rsidRDefault="007F13AE" w:rsidP="00A76F47">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9AA88" id="_x0000_t202" coordsize="21600,21600" o:spt="202" path="m,l,21600r21600,l21600,xe">
              <v:stroke joinstyle="miter"/>
              <v:path gradientshapeok="t" o:connecttype="rect"/>
            </v:shapetype>
            <v:shape id="Textfeld 1" o:spid="_x0000_s1026" type="#_x0000_t202" style="position:absolute;left:0;text-align:left;margin-left:401.4pt;margin-top:-21.5pt;width:98.0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" filled="f" fillcolor="#ddd" stroked="f" strokeweight=".5pt">
              <v:textbox>
                <w:txbxContent>
                  <w:p w14:paraId="388B18E1" w14:textId="77777777" w:rsidR="007F13AE" w:rsidRPr="00A76F47" w:rsidRDefault="007F13AE" w:rsidP="00A76F47">
                    <w:pPr>
                      <w:rPr>
                        <w:szCs w:val="18"/>
                      </w:rPr>
                    </w:pPr>
                  </w:p>
                </w:txbxContent>
              </v:textbox>
            </v:shape>
          </w:pict>
        </mc:Fallback>
      </mc:AlternateContent>
    </w:r>
    <w:r>
      <w:rPr>
        <w:rFonts w:ascii="Arial" w:hAnsi="Arial" w:cs="Arial"/>
      </w:rPr>
      <w:t xml:space="preserve">Seite </w:t>
    </w:r>
    <w:r>
      <w:rPr>
        <w:rStyle w:val="Seitenzahl"/>
        <w:rFonts w:ascii="Arial" w:hAnsi="Arial" w:cs="Arial"/>
      </w:rPr>
      <w:fldChar w:fldCharType="begin"/>
    </w:r>
    <w:r>
      <w:rPr>
        <w:rStyle w:val="Seitenzahl"/>
        <w:rFonts w:ascii="Arial" w:hAnsi="Arial" w:cs="Arial"/>
      </w:rPr>
      <w:instrText xml:space="preserve"> PAGE </w:instrText>
    </w:r>
    <w:r>
      <w:rPr>
        <w:rStyle w:val="Seitenzahl"/>
        <w:rFonts w:ascii="Arial" w:hAnsi="Arial" w:cs="Arial"/>
      </w:rPr>
      <w:fldChar w:fldCharType="separate"/>
    </w:r>
    <w:r>
      <w:rPr>
        <w:rStyle w:val="Seitenzahl"/>
        <w:rFonts w:ascii="Arial" w:hAnsi="Arial" w:cs="Arial"/>
        <w:noProof/>
      </w:rPr>
      <w:t>3</w:t>
    </w:r>
    <w:r>
      <w:rPr>
        <w:rStyle w:val="Seitenzahl"/>
        <w:rFonts w:ascii="Arial" w:hAnsi="Arial" w:cs="Arial"/>
      </w:rPr>
      <w:fldChar w:fldCharType="end"/>
    </w:r>
    <w:r>
      <w:rPr>
        <w:rStyle w:val="Seitenzahl"/>
        <w:rFonts w:ascii="Arial" w:hAnsi="Arial" w:cs="Arial"/>
      </w:rPr>
      <w:t xml:space="preserve"> von </w:t>
    </w:r>
    <w:r>
      <w:rPr>
        <w:rStyle w:val="Seitenzahl"/>
        <w:rFonts w:ascii="Arial" w:hAnsi="Arial" w:cs="Arial"/>
      </w:rPr>
      <w:fldChar w:fldCharType="begin"/>
    </w:r>
    <w:r>
      <w:rPr>
        <w:rStyle w:val="Seitenzahl"/>
        <w:rFonts w:ascii="Arial" w:hAnsi="Arial" w:cs="Arial"/>
      </w:rPr>
      <w:instrText xml:space="preserve"> NUMPAGES </w:instrText>
    </w:r>
    <w:r>
      <w:rPr>
        <w:rStyle w:val="Seitenzahl"/>
        <w:rFonts w:ascii="Arial" w:hAnsi="Arial" w:cs="Arial"/>
      </w:rPr>
      <w:fldChar w:fldCharType="separate"/>
    </w:r>
    <w:r>
      <w:rPr>
        <w:rStyle w:val="Seitenzahl"/>
        <w:rFonts w:ascii="Arial" w:hAnsi="Arial" w:cs="Arial"/>
        <w:noProof/>
      </w:rPr>
      <w:t>3</w:t>
    </w:r>
    <w:r>
      <w:rPr>
        <w:rStyle w:val="Seitenzahl"/>
        <w:rFonts w:ascii="Arial" w:hAnsi="Arial" w:cs="Arial"/>
      </w:rPr>
      <w:fldChar w:fldCharType="end"/>
    </w:r>
    <w:r>
      <w:rPr>
        <w:rStyle w:val="Seitenzahl"/>
        <w:rFonts w:ascii="Arial" w:hAnsi="Arial" w:cs="Arial"/>
      </w:rPr>
      <w:t xml:space="preserve"> – </w:t>
    </w:r>
    <w:r>
      <w:rPr>
        <w:rStyle w:val="Seitenzahl"/>
        <w:rFonts w:ascii="Arial" w:hAnsi="Arial" w:cs="Arial"/>
      </w:rPr>
      <w:fldChar w:fldCharType="begin"/>
    </w:r>
    <w:r>
      <w:rPr>
        <w:rStyle w:val="Seitenzahl"/>
        <w:rFonts w:ascii="Arial" w:hAnsi="Arial" w:cs="Arial"/>
      </w:rPr>
      <w:instrText xml:space="preserve"> DATE \@ "dd.MM.yyyy" </w:instrText>
    </w:r>
    <w:r>
      <w:rPr>
        <w:rStyle w:val="Seitenzahl"/>
        <w:rFonts w:ascii="Arial" w:hAnsi="Arial" w:cs="Arial"/>
      </w:rPr>
      <w:fldChar w:fldCharType="separate"/>
    </w:r>
    <w:r>
      <w:rPr>
        <w:rStyle w:val="Seitenzahl"/>
        <w:rFonts w:ascii="Arial" w:hAnsi="Arial" w:cs="Arial"/>
        <w:noProof/>
      </w:rPr>
      <w:t>03.12.2025</w:t>
    </w:r>
    <w:r>
      <w:rPr>
        <w:rStyle w:val="Seitenzahl"/>
        <w:rFonts w:ascii="Arial" w:hAnsi="Arial" w:cs="Arial"/>
      </w:rPr>
      <w:fldChar w:fldCharType="end"/>
    </w:r>
    <w:r>
      <w:rPr>
        <w:rStyle w:val="Seitenzahl"/>
        <w:rFonts w:ascii="Arial" w:hAnsi="Arial" w:cs="Arial"/>
      </w:rPr>
      <w:t xml:space="preserve"> – Az.: 1/15 D01 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14E4"/>
    <w:multiLevelType w:val="multilevel"/>
    <w:tmpl w:val="0C2AF9E6"/>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8AF765F"/>
    <w:multiLevelType w:val="multilevel"/>
    <w:tmpl w:val="42F06E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445800">
    <w:abstractNumId w:val="1"/>
  </w:num>
  <w:num w:numId="2" w16cid:durableId="172425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AE"/>
    <w:rsid w:val="00291651"/>
    <w:rsid w:val="006D4962"/>
    <w:rsid w:val="007F13AE"/>
    <w:rsid w:val="00DE03A9"/>
    <w:rsid w:val="00E627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90F0"/>
  <w15:chartTrackingRefBased/>
  <w15:docId w15:val="{2867EA54-DBDD-46A7-B3B3-E0A852A5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3AE"/>
    <w:pPr>
      <w:autoSpaceDE w:val="0"/>
      <w:autoSpaceDN w:val="0"/>
      <w:adjustRightInd w:val="0"/>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7F1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1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13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13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13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13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13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13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13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13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13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13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13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13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13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13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13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13AE"/>
    <w:rPr>
      <w:rFonts w:eastAsiaTheme="majorEastAsia" w:cstheme="majorBidi"/>
      <w:color w:val="272727" w:themeColor="text1" w:themeTint="D8"/>
    </w:rPr>
  </w:style>
  <w:style w:type="paragraph" w:styleId="Titel">
    <w:name w:val="Title"/>
    <w:basedOn w:val="Standard"/>
    <w:next w:val="Standard"/>
    <w:link w:val="TitelZchn"/>
    <w:uiPriority w:val="10"/>
    <w:qFormat/>
    <w:rsid w:val="007F13A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13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13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13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13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13AE"/>
    <w:rPr>
      <w:i/>
      <w:iCs/>
      <w:color w:val="404040" w:themeColor="text1" w:themeTint="BF"/>
    </w:rPr>
  </w:style>
  <w:style w:type="paragraph" w:styleId="Listenabsatz">
    <w:name w:val="List Paragraph"/>
    <w:basedOn w:val="Standard"/>
    <w:uiPriority w:val="34"/>
    <w:qFormat/>
    <w:rsid w:val="007F13AE"/>
    <w:pPr>
      <w:ind w:left="720"/>
      <w:contextualSpacing/>
    </w:pPr>
  </w:style>
  <w:style w:type="character" w:styleId="IntensiveHervorhebung">
    <w:name w:val="Intense Emphasis"/>
    <w:basedOn w:val="Absatz-Standardschriftart"/>
    <w:uiPriority w:val="21"/>
    <w:qFormat/>
    <w:rsid w:val="007F13AE"/>
    <w:rPr>
      <w:i/>
      <w:iCs/>
      <w:color w:val="0F4761" w:themeColor="accent1" w:themeShade="BF"/>
    </w:rPr>
  </w:style>
  <w:style w:type="paragraph" w:styleId="IntensivesZitat">
    <w:name w:val="Intense Quote"/>
    <w:basedOn w:val="Standard"/>
    <w:next w:val="Standard"/>
    <w:link w:val="IntensivesZitatZchn"/>
    <w:uiPriority w:val="30"/>
    <w:qFormat/>
    <w:rsid w:val="007F1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13AE"/>
    <w:rPr>
      <w:i/>
      <w:iCs/>
      <w:color w:val="0F4761" w:themeColor="accent1" w:themeShade="BF"/>
    </w:rPr>
  </w:style>
  <w:style w:type="character" w:styleId="IntensiverVerweis">
    <w:name w:val="Intense Reference"/>
    <w:basedOn w:val="Absatz-Standardschriftart"/>
    <w:uiPriority w:val="32"/>
    <w:qFormat/>
    <w:rsid w:val="007F13AE"/>
    <w:rPr>
      <w:b/>
      <w:bCs/>
      <w:smallCaps/>
      <w:color w:val="0F4761" w:themeColor="accent1" w:themeShade="BF"/>
      <w:spacing w:val="5"/>
    </w:rPr>
  </w:style>
  <w:style w:type="paragraph" w:styleId="Kopfzeile">
    <w:name w:val="header"/>
    <w:basedOn w:val="Standard"/>
    <w:link w:val="KopfzeileZchn"/>
    <w:uiPriority w:val="99"/>
    <w:rsid w:val="007F13AE"/>
    <w:pPr>
      <w:tabs>
        <w:tab w:val="center" w:pos="4536"/>
        <w:tab w:val="right" w:pos="9072"/>
      </w:tabs>
    </w:pPr>
  </w:style>
  <w:style w:type="character" w:customStyle="1" w:styleId="KopfzeileZchn">
    <w:name w:val="Kopfzeile Zchn"/>
    <w:basedOn w:val="Absatz-Standardschriftart"/>
    <w:link w:val="Kopfzeile"/>
    <w:uiPriority w:val="99"/>
    <w:rsid w:val="007F13AE"/>
    <w:rPr>
      <w:rFonts w:ascii="Times New Roman" w:eastAsia="Times New Roman" w:hAnsi="Times New Roman" w:cs="Times New Roman"/>
      <w:kern w:val="0"/>
      <w:sz w:val="20"/>
      <w:szCs w:val="20"/>
      <w:lang w:eastAsia="de-DE"/>
      <w14:ligatures w14:val="none"/>
    </w:rPr>
  </w:style>
  <w:style w:type="character" w:styleId="Seitenzahl">
    <w:name w:val="page number"/>
    <w:basedOn w:val="Absatz-Standardschriftart"/>
    <w:uiPriority w:val="99"/>
    <w:rsid w:val="007F13AE"/>
    <w:rPr>
      <w:rFonts w:ascii="Times New Roman" w:hAnsi="Times New Roman" w:cs="Times New Roman"/>
    </w:rPr>
  </w:style>
  <w:style w:type="paragraph" w:styleId="Fuzeile">
    <w:name w:val="footer"/>
    <w:basedOn w:val="Standard"/>
    <w:link w:val="FuzeileZchn"/>
    <w:uiPriority w:val="99"/>
    <w:rsid w:val="007F13AE"/>
    <w:pPr>
      <w:tabs>
        <w:tab w:val="center" w:pos="4536"/>
        <w:tab w:val="right" w:pos="9072"/>
      </w:tabs>
    </w:pPr>
  </w:style>
  <w:style w:type="character" w:customStyle="1" w:styleId="FuzeileZchn">
    <w:name w:val="Fußzeile Zchn"/>
    <w:basedOn w:val="Absatz-Standardschriftart"/>
    <w:link w:val="Fuzeile"/>
    <w:uiPriority w:val="99"/>
    <w:rsid w:val="007F13AE"/>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7107</Characters>
  <Application>Microsoft Office Word</Application>
  <DocSecurity>0</DocSecurity>
  <Lines>145</Lines>
  <Paragraphs>37</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Luzens</dc:creator>
  <cp:keywords/>
  <dc:description/>
  <cp:lastModifiedBy>Gerd Luzens</cp:lastModifiedBy>
  <cp:revision>1</cp:revision>
  <dcterms:created xsi:type="dcterms:W3CDTF">2025-12-03T13:01:00Z</dcterms:created>
  <dcterms:modified xsi:type="dcterms:W3CDTF">2025-12-03T13:03:00Z</dcterms:modified>
</cp:coreProperties>
</file>